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-107949</wp:posOffset>
            </wp:positionH>
            <wp:positionV relativeFrom="paragraph">
              <wp:posOffset>104139</wp:posOffset>
            </wp:positionV>
            <wp:extent cx="838200" cy="876300"/>
            <wp:effectExtent b="0" l="0" r="0" t="0"/>
            <wp:wrapNone/>
            <wp:docPr descr="download.jpg" id="1" name="image1.png"/>
            <a:graphic>
              <a:graphicData uri="http://schemas.openxmlformats.org/drawingml/2006/picture">
                <pic:pic>
                  <pic:nvPicPr>
                    <pic:cNvPr descr="download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7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COMUNE DI MEZZOJUSO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5655310</wp:posOffset>
            </wp:positionH>
            <wp:positionV relativeFrom="paragraph">
              <wp:posOffset>8890</wp:posOffset>
            </wp:positionV>
            <wp:extent cx="588084" cy="718457"/>
            <wp:effectExtent b="0" l="0" r="0" t="0"/>
            <wp:wrapNone/>
            <wp:docPr descr="logo_regione_sicilia-853013.jpg" id="2" name="image2.png"/>
            <a:graphic>
              <a:graphicData uri="http://schemas.openxmlformats.org/drawingml/2006/picture">
                <pic:pic>
                  <pic:nvPicPr>
                    <pic:cNvPr descr="logo_regione_sicilia-853013.jp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084" cy="7184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CITTÀ METROPOLITANA DI PALERMO</w:t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  <w:tab w:val="left" w:leader="none" w:pos="12744"/>
          <w:tab w:val="left" w:leader="none" w:pos="13452"/>
          <w:tab w:val="left" w:leader="none" w:pos="14160"/>
          <w:tab w:val="left" w:leader="none" w:pos="14868"/>
          <w:tab w:val="left" w:leader="none" w:pos="15576"/>
          <w:tab w:val="left" w:leader="none" w:pos="16284"/>
          <w:tab w:val="left" w:leader="none" w:pos="16992"/>
          <w:tab w:val="left" w:leader="none" w:pos="17700"/>
          <w:tab w:val="left" w:leader="none" w:pos="18408"/>
          <w:tab w:val="left" w:leader="none" w:pos="19116"/>
          <w:tab w:val="left" w:leader="none" w:pos="19824"/>
          <w:tab w:val="left" w:leader="none" w:pos="20532"/>
          <w:tab w:val="left" w:leader="none" w:pos="21240"/>
          <w:tab w:val="left" w:leader="none" w:pos="21948"/>
          <w:tab w:val="left" w:leader="none" w:pos="22656"/>
          <w:tab w:val="left" w:leader="none" w:pos="23364"/>
          <w:tab w:val="left" w:leader="none" w:pos="24072"/>
          <w:tab w:val="left" w:leader="none" w:pos="24780"/>
          <w:tab w:val="left" w:leader="none" w:pos="25488"/>
          <w:tab w:val="left" w:leader="none" w:pos="26196"/>
          <w:tab w:val="left" w:leader="none" w:pos="26904"/>
          <w:tab w:val="left" w:leader="none" w:pos="27612"/>
          <w:tab w:val="left" w:leader="none" w:pos="28320"/>
        </w:tabs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rtl w:val="0"/>
        </w:rPr>
        <w:t xml:space="preserve">AVVISO URGENTE 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4"/>
          <w:szCs w:val="44"/>
          <w:u w:val="single"/>
          <w:rtl w:val="0"/>
        </w:rPr>
        <w:t xml:space="preserve">PREVENZIONE INCENDI ED OBBLIGO PULIZIA TERRENI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4"/>
          <w:szCs w:val="44"/>
          <w:rtl w:val="0"/>
        </w:rPr>
        <w:t xml:space="preserve">(Ordinanza Sindacale n. 13 del 28/04/2026)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Si avvisano tutti i proprietari, affittuari e possessori di terreni che, per tutelare l'incolumità pubblica e prevenire il rischio di incendi, sussistono i seguenti OBBLIGHI TASSATIVI: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PULIZIA TERRENI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Effettuare la pulizia e la rimozione di sterpaglie, rovi, fieno, vegetazione secca e rifiuti. 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FASCIA DI RISPETTO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(Almeno 10 Metri): Eliminare la vegetazione secca lungo i confini di proprietà, attorno ai fabbricati e agli impianti, nonché creare fasce tagliafuoco di almeno 10 metri mediante aratura o decespugliamento.  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DIVIETO ASSOLUTO DI FUOCHI (Dal 15 MAGGIO al 31 OTTOBRE 2026):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È vietato accendere fuochi, bruciare stoppie/potature o compiere qualsiasi operazione che possa generare fiamme o scintille in prossimità di terreni e boschi. 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SANZIONI E CONSEGUENZE IN CASO DI INADEMPIENZA: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Sanzioni amministrative: Multa da 168,00 € a 674,00 € per mancato diserbo su fronti stradali; sanzioni fino a 10.329,00 € in caso di azionamento/innesco di potenziale incendio. 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Intervento d'ufficio: L'Amministrazione potrà agire in via sostitutiva con addebito delle spese ai proprietari.  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Responsabilità penale e civile: I trasgressori saranno deferiti all'Autorità Giudiziaria (art. 650 C.P. e articoli su reati di incendio) con risarcimento dei danni a cose o persone.  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4"/>
          <w:szCs w:val="24"/>
          <w:rtl w:val="0"/>
        </w:rPr>
        <w:t xml:space="preserve">📞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SEGNALAZIONE INCENDI: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Vigili del Fuoco: 115 | Corpo Forestale: 1515 I Carabinieri Mezzojuso: 0918203235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Polizia Municipale: 091 9296201 | Protezione Civile (SORIS): 800 40 40 40  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 mobile: "Anch'io segnalo"</w:t>
      </w:r>
    </w:p>
    <w:p w:rsidR="00000000" w:rsidDel="00000000" w:rsidP="00000000" w:rsidRDefault="00000000" w:rsidRPr="00000000" w14:paraId="00000016">
      <w:pPr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158zldngknrl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 Sindaco</w:t>
      </w:r>
    </w:p>
    <w:sectPr>
      <w:pgSz w:h="16838" w:w="11906" w:orient="portrait"/>
      <w:pgMar w:bottom="1134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Arial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48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